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DC56E" w14:textId="77777777" w:rsidR="00243AAF" w:rsidRDefault="00243AAF" w:rsidP="001869F9">
      <w:pPr>
        <w:tabs>
          <w:tab w:val="left" w:pos="6340"/>
        </w:tabs>
        <w:jc w:val="right"/>
        <w:rPr>
          <w:b/>
          <w:bCs/>
        </w:rPr>
      </w:pPr>
    </w:p>
    <w:p w14:paraId="74472F8A" w14:textId="6AF45E04" w:rsidR="001869F9" w:rsidRPr="001869F9" w:rsidRDefault="001869F9" w:rsidP="001869F9">
      <w:pPr>
        <w:tabs>
          <w:tab w:val="left" w:pos="6340"/>
        </w:tabs>
        <w:jc w:val="right"/>
      </w:pPr>
      <w:r w:rsidRPr="001869F9">
        <w:t>Oktober 2024</w:t>
      </w:r>
    </w:p>
    <w:p w14:paraId="06071F8D" w14:textId="77777777" w:rsidR="001869F9" w:rsidRDefault="001869F9" w:rsidP="00B57445">
      <w:pPr>
        <w:tabs>
          <w:tab w:val="left" w:pos="6340"/>
        </w:tabs>
        <w:rPr>
          <w:b/>
          <w:bCs/>
        </w:rPr>
      </w:pPr>
    </w:p>
    <w:p w14:paraId="3865D6D5" w14:textId="39A4E58D" w:rsidR="00B57445" w:rsidRPr="00476BBE" w:rsidRDefault="00B57445" w:rsidP="00B57445">
      <w:pPr>
        <w:tabs>
          <w:tab w:val="left" w:pos="6340"/>
        </w:tabs>
        <w:rPr>
          <w:b/>
          <w:bCs/>
        </w:rPr>
      </w:pPr>
      <w:r>
        <w:rPr>
          <w:b/>
          <w:bCs/>
        </w:rPr>
        <w:t>M</w:t>
      </w:r>
      <w:r w:rsidRPr="00476BBE">
        <w:rPr>
          <w:b/>
          <w:bCs/>
        </w:rPr>
        <w:t xml:space="preserve">ulighed for mægling </w:t>
      </w:r>
      <w:r>
        <w:rPr>
          <w:b/>
          <w:bCs/>
        </w:rPr>
        <w:t>fra</w:t>
      </w:r>
      <w:r w:rsidRPr="00476BBE">
        <w:rPr>
          <w:b/>
          <w:bCs/>
        </w:rPr>
        <w:t xml:space="preserve"> 1. oktober 2024</w:t>
      </w:r>
      <w:r>
        <w:rPr>
          <w:b/>
          <w:bCs/>
        </w:rPr>
        <w:t xml:space="preserve"> ved uenighed om lokal tillidsrepræsentantstruktur</w:t>
      </w:r>
      <w:r>
        <w:rPr>
          <w:b/>
          <w:bCs/>
        </w:rPr>
        <w:tab/>
      </w:r>
    </w:p>
    <w:p w14:paraId="35EF80D2" w14:textId="1D5E0402" w:rsidR="00B57445" w:rsidRDefault="00B57445" w:rsidP="00B57445">
      <w:r>
        <w:t>Fra 1. oktober 2024 kan man få hjælp fra en mægler ved uenighed om den lokale tillidsrepræsentantstruktur i en kommune.</w:t>
      </w:r>
    </w:p>
    <w:p w14:paraId="402DD128" w14:textId="111B3EAE" w:rsidR="00B57445" w:rsidRDefault="00B57445" w:rsidP="00B57445">
      <w:pPr>
        <w:autoSpaceDE w:val="0"/>
        <w:autoSpaceDN w:val="0"/>
        <w:adjustRightInd w:val="0"/>
        <w:spacing w:line="240" w:lineRule="auto"/>
      </w:pPr>
      <w:r w:rsidRPr="003450FB">
        <w:t>Dette tiltag bygger ovenpå gældende aftale om, at der er pligt til at optage forhandling om at indgå en lokal aftale om tillidsrepræsentantstrukturen</w:t>
      </w:r>
      <w:r w:rsidR="00FA49BD">
        <w:t xml:space="preserve">, såfremt en eller flere af de (lokale) repræsentanter anmoder herom. </w:t>
      </w:r>
      <w:r>
        <w:t>Hvis der ikke kan opnås enighed, kan hver af de lokale parter vælge at inddrage en mægler udpeget af de centrale parter med henblik på at fremme opnåelse af enighed.</w:t>
      </w:r>
    </w:p>
    <w:p w14:paraId="2A4CC44A" w14:textId="77777777" w:rsidR="00692C1E" w:rsidRDefault="00692C1E" w:rsidP="00B57445">
      <w:pPr>
        <w:spacing w:after="0"/>
        <w:rPr>
          <w:b/>
          <w:bCs/>
        </w:rPr>
      </w:pPr>
    </w:p>
    <w:p w14:paraId="38BDAF58" w14:textId="29367C56" w:rsidR="00B57445" w:rsidRPr="00CD6E6E" w:rsidRDefault="00B57445" w:rsidP="00B57445">
      <w:pPr>
        <w:spacing w:after="0"/>
        <w:rPr>
          <w:b/>
          <w:bCs/>
        </w:rPr>
      </w:pPr>
      <w:r w:rsidRPr="00CD6E6E">
        <w:rPr>
          <w:b/>
          <w:bCs/>
        </w:rPr>
        <w:t>Anmodning om mægling</w:t>
      </w:r>
    </w:p>
    <w:p w14:paraId="2783A876" w14:textId="77777777" w:rsidR="00ED174F" w:rsidRDefault="00B57445" w:rsidP="00B57445">
      <w:r>
        <w:t>Uenigheden om tillidsrepræsentantstrukturen skal være konstateret efter 1. oktober 2024. Det kan enten være ved, at der har været forhandlinger efter denne dato uden enighed, eller ved at parterne efter 1. oktober 2024 bekræfter, at der stadig er uenighed. Mægling forudsætter blot, at én af parterne ønsker mægling.</w:t>
      </w:r>
    </w:p>
    <w:p w14:paraId="758F0B9B" w14:textId="0E41C880" w:rsidR="00B57445" w:rsidRDefault="00647D3A" w:rsidP="00B57445">
      <w:r>
        <w:t xml:space="preserve">Hvis en (eller begge) af parterne ønsker mægling, orienteres den anden part herom, før der sendes en anmodning til administrator. </w:t>
      </w:r>
      <w:r w:rsidR="00AB27F6">
        <w:t>Blanketten til a</w:t>
      </w:r>
      <w:r>
        <w:t xml:space="preserve">nmodning om mægling </w:t>
      </w:r>
      <w:r w:rsidR="00AB27F6">
        <w:t xml:space="preserve">findes på </w:t>
      </w:r>
      <w:hyperlink r:id="rId11" w:history="1">
        <w:r w:rsidR="00AB27F6" w:rsidRPr="00AB27F6">
          <w:rPr>
            <w:rStyle w:val="Hyperlink"/>
          </w:rPr>
          <w:t>vpt.dk/TR-struktur</w:t>
        </w:r>
      </w:hyperlink>
      <w:r w:rsidR="00796E92">
        <w:t xml:space="preserve">. </w:t>
      </w:r>
      <w:r w:rsidR="00AB27F6">
        <w:t xml:space="preserve">Blanketten udfyldes og sendes digitalt. </w:t>
      </w:r>
      <w:r w:rsidR="00B57445">
        <w:t>Anmodningen skal indeholde navne og kontaktoplysninger til kontaktpersoner hos begge de lokale parter. Det markeres endvidere, at der er tale om en uenighed vedr. lokal tillidsrepræsentantstruktur. Administrator anviser herefter en mægler til de lokale parter.</w:t>
      </w:r>
      <w:r w:rsidR="00B57445" w:rsidRPr="00857EC7">
        <w:t xml:space="preserve"> </w:t>
      </w:r>
    </w:p>
    <w:p w14:paraId="1AA3765D" w14:textId="77777777" w:rsidR="00692C1E" w:rsidRDefault="00692C1E" w:rsidP="00B57445">
      <w:pPr>
        <w:spacing w:after="0"/>
        <w:rPr>
          <w:b/>
          <w:bCs/>
        </w:rPr>
      </w:pPr>
    </w:p>
    <w:p w14:paraId="0BBD32D9" w14:textId="5E130493" w:rsidR="00B57445" w:rsidRPr="00DE5726" w:rsidRDefault="00B57445" w:rsidP="00B57445">
      <w:pPr>
        <w:spacing w:after="0"/>
        <w:rPr>
          <w:b/>
          <w:bCs/>
        </w:rPr>
      </w:pPr>
      <w:r w:rsidRPr="00DE5726">
        <w:rPr>
          <w:b/>
          <w:bCs/>
        </w:rPr>
        <w:t>Om mæglerne</w:t>
      </w:r>
    </w:p>
    <w:p w14:paraId="745453EB" w14:textId="562719AA" w:rsidR="00B57445" w:rsidRDefault="00B57445" w:rsidP="00B57445">
      <w:r>
        <w:t xml:space="preserve">De mæglere, som vil bistå kommuner og organisationer, har en masteruddannelse i konfliktmægling samt relevant og vedligeholdt erfaring med at mægle. Det er uafhængige og professionelle mæglere, som ikke er ansat i en kommunal eller regional ansættelsesmyndighed eller i en faglig organisation. </w:t>
      </w:r>
    </w:p>
    <w:p w14:paraId="0AD6143B" w14:textId="77777777" w:rsidR="00692C1E" w:rsidRDefault="00692C1E" w:rsidP="00B57445">
      <w:pPr>
        <w:spacing w:after="0"/>
        <w:rPr>
          <w:b/>
          <w:bCs/>
        </w:rPr>
      </w:pPr>
    </w:p>
    <w:p w14:paraId="62245B33" w14:textId="0C008409" w:rsidR="00B57445" w:rsidRPr="00580A19" w:rsidRDefault="00B57445" w:rsidP="00B57445">
      <w:pPr>
        <w:spacing w:after="0"/>
        <w:rPr>
          <w:lang w:eastAsia="da-DK"/>
        </w:rPr>
      </w:pPr>
      <w:r w:rsidRPr="00DE5726">
        <w:rPr>
          <w:b/>
          <w:bCs/>
        </w:rPr>
        <w:t>Mæglingsprocessen</w:t>
      </w:r>
    </w:p>
    <w:p w14:paraId="27CBA50C" w14:textId="77777777" w:rsidR="00B57445" w:rsidRDefault="00B57445" w:rsidP="00B57445">
      <w:r>
        <w:t xml:space="preserve">Mæglingen vil ske med en refleksiv og interessebaseret tilgang. Denne tilgang indebærer, at mægler ikke træffer afgørelse i sagen og ikke har holdninger til, hvordan og om parterne finder en løsning. Mægler faciliterer en proces, hvor parterne sammen afsøger deres uenigheder, interesser og behov samt undersøger egne løsningsforslag. </w:t>
      </w:r>
    </w:p>
    <w:p w14:paraId="4A8777F4" w14:textId="4FC6D944" w:rsidR="00B57445" w:rsidRDefault="00B57445" w:rsidP="00B57445">
      <w:r>
        <w:rPr>
          <w:lang w:eastAsia="da-DK"/>
        </w:rPr>
        <w:t xml:space="preserve">Det er vigtigt at være opmærksom på, at når man benytter sig af </w:t>
      </w:r>
      <w:r w:rsidRPr="003450FB">
        <w:rPr>
          <w:lang w:eastAsia="da-DK"/>
        </w:rPr>
        <w:t>refleksiv mægling</w:t>
      </w:r>
      <w:r>
        <w:rPr>
          <w:lang w:eastAsia="da-DK"/>
        </w:rPr>
        <w:t>, vil der være tale om en anderledes fremgangsmåde end ved de lokale forhandlinger, som organisationer og kommuner normalt afvikler, fx ved uenigheder om forståelse af overenskomster/aftaler.</w:t>
      </w:r>
    </w:p>
    <w:p w14:paraId="4A11A721" w14:textId="77777777" w:rsidR="00B57445" w:rsidRDefault="00B57445" w:rsidP="00B57445">
      <w:r>
        <w:t>Begge parter har pligt til at deltage i mæglingen med henblik på at fremme opnåelsen af enighed.</w:t>
      </w:r>
      <w:r w:rsidRPr="001732F3">
        <w:t xml:space="preserve"> </w:t>
      </w:r>
    </w:p>
    <w:p w14:paraId="22456E83" w14:textId="77777777" w:rsidR="00B57445" w:rsidRDefault="00B57445" w:rsidP="00B57445">
      <w:pPr>
        <w:rPr>
          <w:b/>
          <w:bCs/>
        </w:rPr>
      </w:pPr>
      <w:r>
        <w:t>Mægling finder sted i et fortroligt rum.</w:t>
      </w:r>
      <w:r w:rsidDel="002C1673">
        <w:t xml:space="preserve"> </w:t>
      </w:r>
    </w:p>
    <w:p w14:paraId="7C3068C4" w14:textId="77777777" w:rsidR="004D3176" w:rsidRDefault="004D3176" w:rsidP="00B57445">
      <w:pPr>
        <w:rPr>
          <w:b/>
          <w:bCs/>
        </w:rPr>
      </w:pPr>
    </w:p>
    <w:p w14:paraId="02BD7378" w14:textId="7B032956" w:rsidR="00B57445" w:rsidRPr="0076229A" w:rsidRDefault="00B57445" w:rsidP="00B57445">
      <w:pPr>
        <w:rPr>
          <w:b/>
          <w:bCs/>
        </w:rPr>
      </w:pPr>
      <w:r w:rsidRPr="0076229A">
        <w:rPr>
          <w:b/>
          <w:bCs/>
        </w:rPr>
        <w:lastRenderedPageBreak/>
        <w:t>Praktiske forhold</w:t>
      </w:r>
    </w:p>
    <w:p w14:paraId="3903673C" w14:textId="28F68C55" w:rsidR="00B57445" w:rsidRPr="00FD321A" w:rsidRDefault="00B57445" w:rsidP="00B57445">
      <w:r>
        <w:t xml:space="preserve">Efter anmodning om mægling kontakter mægleren de lokale parter. Mæglingen er finansieret af de centrale parter, men kommunen stiller selv egnede lokaler </w:t>
      </w:r>
      <w:r w:rsidR="00E22D60">
        <w:t xml:space="preserve">mv. </w:t>
      </w:r>
      <w:r>
        <w:t xml:space="preserve">til rådighed. </w:t>
      </w:r>
    </w:p>
    <w:p w14:paraId="529C3BD2" w14:textId="3D5D8A58" w:rsidR="00B57445" w:rsidDel="002D0812" w:rsidRDefault="00B57445" w:rsidP="00B57445">
      <w:r>
        <w:t>Parterne, dvs. den faglige organisation og kommunen beslutter hver især, hvem de deltager med i mæglingen, og mægler kan i den indledende kontakt give sparring om, hvem der bør være til stede.</w:t>
      </w:r>
    </w:p>
    <w:p w14:paraId="4EAFBBA8" w14:textId="77777777" w:rsidR="00B57445" w:rsidRDefault="00B57445" w:rsidP="00B57445">
      <w:r>
        <w:t>Et mæglingsforløb vil typisk bestå af et indledende (virtuelt) møde mellem mægler og hver enkelt part, og 1- 2 efterfølgende fysiske møder. Mæglingen kan afbrydes undervejs, hvis en eller begge parter ønsker det.</w:t>
      </w:r>
    </w:p>
    <w:p w14:paraId="46BF0A1A" w14:textId="77777777" w:rsidR="00B57445" w:rsidRPr="00C8408B" w:rsidRDefault="00B57445" w:rsidP="00B57445">
      <w:pPr>
        <w:spacing w:after="0"/>
      </w:pPr>
      <w:r w:rsidRPr="00C8408B">
        <w:rPr>
          <w:b/>
          <w:bCs/>
        </w:rPr>
        <w:t>Etiske retningslinjer</w:t>
      </w:r>
    </w:p>
    <w:p w14:paraId="29F35AC4" w14:textId="12E62A05" w:rsidR="00B57445" w:rsidRDefault="00EB519F" w:rsidP="00EB519F">
      <w:pPr>
        <w:ind w:hanging="709"/>
      </w:pPr>
      <w:r>
        <w:t>./.</w:t>
      </w:r>
      <w:r>
        <w:tab/>
      </w:r>
      <w:r w:rsidR="00B57445">
        <w:t>Både mæglere og parterne i mæglingen er forpligtet til at følge ”Etiske retningslinjer for refleksiv mægling i uenigheder om tillidsrepræsentantstruktur i kommuner ”</w:t>
      </w:r>
      <w:r>
        <w:t xml:space="preserve">. Retningslinjerne </w:t>
      </w:r>
      <w:r w:rsidR="00CE74AD">
        <w:t>l</w:t>
      </w:r>
      <w:r w:rsidR="001869F9">
        <w:t>i</w:t>
      </w:r>
      <w:r w:rsidR="00CE74AD">
        <w:t xml:space="preserve">gger </w:t>
      </w:r>
      <w:r>
        <w:t xml:space="preserve"> </w:t>
      </w:r>
      <w:r w:rsidR="00CE74AD">
        <w:t>på</w:t>
      </w:r>
      <w:r w:rsidR="00D72FAF">
        <w:t xml:space="preserve"> siden vpt.dk/TR-struktur</w:t>
      </w:r>
      <w:r>
        <w:t>.</w:t>
      </w:r>
    </w:p>
    <w:p w14:paraId="77EDEA71" w14:textId="77777777" w:rsidR="00B57445" w:rsidRDefault="00B57445" w:rsidP="00B57445">
      <w:r>
        <w:t>Hvis der er spørgsmål til ovenstående, kan der rettes henvendelse til:</w:t>
      </w:r>
    </w:p>
    <w:p w14:paraId="7D47D7B3" w14:textId="77777777" w:rsidR="00B57445" w:rsidRDefault="00B57445" w:rsidP="00B57445">
      <w:pPr>
        <w:pStyle w:val="Listeafsnit"/>
        <w:numPr>
          <w:ilvl w:val="0"/>
          <w:numId w:val="1"/>
        </w:numPr>
      </w:pPr>
      <w:r>
        <w:t>Nadja Lund-Sørensen, KL, tlf. 33 70 37 85</w:t>
      </w:r>
    </w:p>
    <w:p w14:paraId="3127A903" w14:textId="77777777" w:rsidR="00B57445" w:rsidRDefault="00B57445" w:rsidP="00B57445">
      <w:pPr>
        <w:pStyle w:val="Listeafsnit"/>
        <w:numPr>
          <w:ilvl w:val="0"/>
          <w:numId w:val="1"/>
        </w:numPr>
      </w:pPr>
      <w:r>
        <w:t>Eva Agerlin, Forhandlingsfællesskabet, tlf. 51 37 69 07</w:t>
      </w:r>
    </w:p>
    <w:p w14:paraId="598B9861" w14:textId="77777777" w:rsidR="00B57445" w:rsidRDefault="00B57445" w:rsidP="00B57445">
      <w:pPr>
        <w:jc w:val="center"/>
      </w:pPr>
    </w:p>
    <w:p w14:paraId="70FD25BF" w14:textId="77777777" w:rsidR="00B57445" w:rsidRDefault="00B57445"/>
    <w:sectPr w:rsidR="00B57445" w:rsidSect="001869F9">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05167" w14:textId="77777777" w:rsidR="00635238" w:rsidRDefault="00635238" w:rsidP="004D3176">
      <w:pPr>
        <w:spacing w:after="0" w:line="240" w:lineRule="auto"/>
      </w:pPr>
      <w:r>
        <w:separator/>
      </w:r>
    </w:p>
  </w:endnote>
  <w:endnote w:type="continuationSeparator" w:id="0">
    <w:p w14:paraId="2AEB3E54" w14:textId="77777777" w:rsidR="00635238" w:rsidRDefault="00635238" w:rsidP="004D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20FC" w14:textId="77777777" w:rsidR="001869F9" w:rsidRDefault="001869F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715295"/>
      <w:docPartObj>
        <w:docPartGallery w:val="Page Numbers (Bottom of Page)"/>
        <w:docPartUnique/>
      </w:docPartObj>
    </w:sdtPr>
    <w:sdtEndPr/>
    <w:sdtContent>
      <w:p w14:paraId="4D4176C7" w14:textId="5539708D" w:rsidR="001869F9" w:rsidRDefault="001869F9">
        <w:pPr>
          <w:pStyle w:val="Sidefod"/>
          <w:jc w:val="right"/>
        </w:pPr>
        <w:r>
          <w:fldChar w:fldCharType="begin"/>
        </w:r>
        <w:r>
          <w:instrText>PAGE   \* MERGEFORMAT</w:instrText>
        </w:r>
        <w:r>
          <w:fldChar w:fldCharType="separate"/>
        </w:r>
        <w:r>
          <w:t>2</w:t>
        </w:r>
        <w:r>
          <w:fldChar w:fldCharType="end"/>
        </w:r>
      </w:p>
    </w:sdtContent>
  </w:sdt>
  <w:p w14:paraId="369C8C12" w14:textId="77777777" w:rsidR="001869F9" w:rsidRDefault="001869F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5B6CD" w14:textId="77777777" w:rsidR="001869F9" w:rsidRDefault="001869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298A1" w14:textId="77777777" w:rsidR="00635238" w:rsidRDefault="00635238" w:rsidP="004D3176">
      <w:pPr>
        <w:spacing w:after="0" w:line="240" w:lineRule="auto"/>
      </w:pPr>
      <w:r>
        <w:separator/>
      </w:r>
    </w:p>
  </w:footnote>
  <w:footnote w:type="continuationSeparator" w:id="0">
    <w:p w14:paraId="10E4A3FC" w14:textId="77777777" w:rsidR="00635238" w:rsidRDefault="00635238" w:rsidP="004D3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ED959" w14:textId="77777777" w:rsidR="001869F9" w:rsidRDefault="001869F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EBAA9" w14:textId="578417CA" w:rsidR="004D3176" w:rsidRDefault="004D317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472E" w14:textId="3BEB9A87" w:rsidR="001869F9" w:rsidRDefault="001869F9">
    <w:pPr>
      <w:pStyle w:val="Sidehoved"/>
    </w:pPr>
    <w:r>
      <w:rPr>
        <w:noProof/>
      </w:rPr>
      <w:drawing>
        <wp:anchor distT="0" distB="0" distL="114300" distR="114300" simplePos="0" relativeHeight="251659264" behindDoc="1" locked="0" layoutInCell="1" allowOverlap="1" wp14:anchorId="10178C1E" wp14:editId="13AA920C">
          <wp:simplePos x="0" y="0"/>
          <wp:positionH relativeFrom="margin">
            <wp:posOffset>5318760</wp:posOffset>
          </wp:positionH>
          <wp:positionV relativeFrom="paragraph">
            <wp:posOffset>-635</wp:posOffset>
          </wp:positionV>
          <wp:extent cx="886460" cy="535940"/>
          <wp:effectExtent l="0" t="0" r="8890" b="0"/>
          <wp:wrapTight wrapText="bothSides">
            <wp:wrapPolygon edited="0">
              <wp:start x="0" y="0"/>
              <wp:lineTo x="0" y="20730"/>
              <wp:lineTo x="20888" y="20730"/>
              <wp:lineTo x="21352" y="18427"/>
              <wp:lineTo x="21352" y="16891"/>
              <wp:lineTo x="16711" y="12284"/>
              <wp:lineTo x="16711" y="0"/>
              <wp:lineTo x="0" y="0"/>
            </wp:wrapPolygon>
          </wp:wrapTight>
          <wp:docPr id="259336377" name="Billede 3" descr="Et billede, der indeholder skærmbillede, Elektrisk blå, blå/nedtrykt,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31115" name="Billede 3" descr="Et billede, der indeholder skærmbillede, Elektrisk blå, blå/nedtrykt, Grafik&#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886460"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E102A" wp14:editId="533457F9">
          <wp:extent cx="1419225" cy="466725"/>
          <wp:effectExtent l="0" t="0" r="9525" b="9525"/>
          <wp:docPr id="1685293139"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05365" name="Billede 734205365"/>
                  <pic:cNvPicPr/>
                </pic:nvPicPr>
                <pic:blipFill>
                  <a:blip r:embed="rId2">
                    <a:extLst>
                      <a:ext uri="{28A0092B-C50C-407E-A947-70E740481C1C}">
                        <a14:useLocalDpi xmlns:a14="http://schemas.microsoft.com/office/drawing/2010/main" val="0"/>
                      </a:ext>
                    </a:extLst>
                  </a:blip>
                  <a:stretch>
                    <a:fillRect/>
                  </a:stretch>
                </pic:blipFill>
                <pic:spPr>
                  <a:xfrm>
                    <a:off x="0" y="0"/>
                    <a:ext cx="1419225" cy="466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370058"/>
    <w:multiLevelType w:val="hybridMultilevel"/>
    <w:tmpl w:val="C5443F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0788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45"/>
    <w:rsid w:val="001869F9"/>
    <w:rsid w:val="00243AAF"/>
    <w:rsid w:val="00272140"/>
    <w:rsid w:val="002E6437"/>
    <w:rsid w:val="002F27DD"/>
    <w:rsid w:val="00342A3F"/>
    <w:rsid w:val="00361D55"/>
    <w:rsid w:val="00376C42"/>
    <w:rsid w:val="003E10B3"/>
    <w:rsid w:val="004512C2"/>
    <w:rsid w:val="004C41C8"/>
    <w:rsid w:val="004D3176"/>
    <w:rsid w:val="00521965"/>
    <w:rsid w:val="005440E7"/>
    <w:rsid w:val="005773D5"/>
    <w:rsid w:val="005D5628"/>
    <w:rsid w:val="006347CF"/>
    <w:rsid w:val="00635238"/>
    <w:rsid w:val="00647D3A"/>
    <w:rsid w:val="00675A3D"/>
    <w:rsid w:val="00682530"/>
    <w:rsid w:val="00692C1E"/>
    <w:rsid w:val="006D3D51"/>
    <w:rsid w:val="006F2187"/>
    <w:rsid w:val="00724A7F"/>
    <w:rsid w:val="00742B6C"/>
    <w:rsid w:val="00777C74"/>
    <w:rsid w:val="00796E92"/>
    <w:rsid w:val="007A6025"/>
    <w:rsid w:val="007E2F81"/>
    <w:rsid w:val="008B716E"/>
    <w:rsid w:val="008E33F6"/>
    <w:rsid w:val="0091556D"/>
    <w:rsid w:val="00960C08"/>
    <w:rsid w:val="00964D02"/>
    <w:rsid w:val="009B15C2"/>
    <w:rsid w:val="009B4B7D"/>
    <w:rsid w:val="009C3AEC"/>
    <w:rsid w:val="009D3133"/>
    <w:rsid w:val="00A30990"/>
    <w:rsid w:val="00A440B4"/>
    <w:rsid w:val="00A507F1"/>
    <w:rsid w:val="00A7044D"/>
    <w:rsid w:val="00A709F7"/>
    <w:rsid w:val="00AB27F6"/>
    <w:rsid w:val="00AE56E1"/>
    <w:rsid w:val="00AF7089"/>
    <w:rsid w:val="00B57445"/>
    <w:rsid w:val="00B623F8"/>
    <w:rsid w:val="00C27710"/>
    <w:rsid w:val="00CE74AD"/>
    <w:rsid w:val="00CF0E4F"/>
    <w:rsid w:val="00D22468"/>
    <w:rsid w:val="00D72FAF"/>
    <w:rsid w:val="00D736ED"/>
    <w:rsid w:val="00E22D60"/>
    <w:rsid w:val="00E52451"/>
    <w:rsid w:val="00EB519F"/>
    <w:rsid w:val="00EC13E5"/>
    <w:rsid w:val="00ED174F"/>
    <w:rsid w:val="00F1577E"/>
    <w:rsid w:val="00F479BA"/>
    <w:rsid w:val="00FA49BD"/>
    <w:rsid w:val="00FD6FE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55722"/>
  <w15:chartTrackingRefBased/>
  <w15:docId w15:val="{5A6BE1AB-491A-413E-952A-D290D3BB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445"/>
    <w:pPr>
      <w:spacing w:line="259" w:lineRule="auto"/>
    </w:pPr>
    <w:rPr>
      <w:sz w:val="22"/>
      <w:szCs w:val="22"/>
    </w:rPr>
  </w:style>
  <w:style w:type="paragraph" w:styleId="Overskrift1">
    <w:name w:val="heading 1"/>
    <w:basedOn w:val="Normal"/>
    <w:next w:val="Normal"/>
    <w:link w:val="Overskrift1Tegn"/>
    <w:uiPriority w:val="9"/>
    <w:qFormat/>
    <w:rsid w:val="00B57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57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5744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5744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5744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5744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5744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5744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5744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744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5744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5744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5744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5744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5744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5744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5744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57445"/>
    <w:rPr>
      <w:rFonts w:eastAsiaTheme="majorEastAsia" w:cstheme="majorBidi"/>
      <w:color w:val="272727" w:themeColor="text1" w:themeTint="D8"/>
    </w:rPr>
  </w:style>
  <w:style w:type="paragraph" w:styleId="Titel">
    <w:name w:val="Title"/>
    <w:basedOn w:val="Normal"/>
    <w:next w:val="Normal"/>
    <w:link w:val="TitelTegn"/>
    <w:uiPriority w:val="10"/>
    <w:qFormat/>
    <w:rsid w:val="00B57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5744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5744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5744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5744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57445"/>
    <w:rPr>
      <w:i/>
      <w:iCs/>
      <w:color w:val="404040" w:themeColor="text1" w:themeTint="BF"/>
    </w:rPr>
  </w:style>
  <w:style w:type="paragraph" w:styleId="Listeafsnit">
    <w:name w:val="List Paragraph"/>
    <w:basedOn w:val="Normal"/>
    <w:uiPriority w:val="34"/>
    <w:qFormat/>
    <w:rsid w:val="00B57445"/>
    <w:pPr>
      <w:ind w:left="720"/>
      <w:contextualSpacing/>
    </w:pPr>
  </w:style>
  <w:style w:type="character" w:styleId="Kraftigfremhvning">
    <w:name w:val="Intense Emphasis"/>
    <w:basedOn w:val="Standardskrifttypeiafsnit"/>
    <w:uiPriority w:val="21"/>
    <w:qFormat/>
    <w:rsid w:val="00B57445"/>
    <w:rPr>
      <w:i/>
      <w:iCs/>
      <w:color w:val="0F4761" w:themeColor="accent1" w:themeShade="BF"/>
    </w:rPr>
  </w:style>
  <w:style w:type="paragraph" w:styleId="Strktcitat">
    <w:name w:val="Intense Quote"/>
    <w:basedOn w:val="Normal"/>
    <w:next w:val="Normal"/>
    <w:link w:val="StrktcitatTegn"/>
    <w:uiPriority w:val="30"/>
    <w:qFormat/>
    <w:rsid w:val="00B57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57445"/>
    <w:rPr>
      <w:i/>
      <w:iCs/>
      <w:color w:val="0F4761" w:themeColor="accent1" w:themeShade="BF"/>
    </w:rPr>
  </w:style>
  <w:style w:type="character" w:styleId="Kraftighenvisning">
    <w:name w:val="Intense Reference"/>
    <w:basedOn w:val="Standardskrifttypeiafsnit"/>
    <w:uiPriority w:val="32"/>
    <w:qFormat/>
    <w:rsid w:val="00B57445"/>
    <w:rPr>
      <w:b/>
      <w:bCs/>
      <w:smallCaps/>
      <w:color w:val="0F4761" w:themeColor="accent1" w:themeShade="BF"/>
      <w:spacing w:val="5"/>
    </w:rPr>
  </w:style>
  <w:style w:type="paragraph" w:styleId="Korrektur">
    <w:name w:val="Revision"/>
    <w:hidden/>
    <w:uiPriority w:val="99"/>
    <w:semiHidden/>
    <w:rsid w:val="00ED174F"/>
    <w:pPr>
      <w:spacing w:after="0" w:line="240" w:lineRule="auto"/>
    </w:pPr>
    <w:rPr>
      <w:sz w:val="22"/>
      <w:szCs w:val="22"/>
    </w:rPr>
  </w:style>
  <w:style w:type="paragraph" w:styleId="Kommentartekst">
    <w:name w:val="annotation text"/>
    <w:basedOn w:val="Normal"/>
    <w:link w:val="KommentartekstTegn"/>
    <w:uiPriority w:val="99"/>
    <w:unhideWhenUsed/>
    <w:rsid w:val="00647D3A"/>
    <w:pPr>
      <w:spacing w:line="240" w:lineRule="auto"/>
    </w:pPr>
    <w:rPr>
      <w:sz w:val="20"/>
      <w:szCs w:val="20"/>
    </w:rPr>
  </w:style>
  <w:style w:type="character" w:customStyle="1" w:styleId="KommentartekstTegn">
    <w:name w:val="Kommentartekst Tegn"/>
    <w:basedOn w:val="Standardskrifttypeiafsnit"/>
    <w:link w:val="Kommentartekst"/>
    <w:uiPriority w:val="99"/>
    <w:rsid w:val="00647D3A"/>
    <w:rPr>
      <w:sz w:val="20"/>
      <w:szCs w:val="20"/>
    </w:rPr>
  </w:style>
  <w:style w:type="character" w:styleId="Kommentarhenvisning">
    <w:name w:val="annotation reference"/>
    <w:basedOn w:val="Standardskrifttypeiafsnit"/>
    <w:uiPriority w:val="99"/>
    <w:semiHidden/>
    <w:unhideWhenUsed/>
    <w:rsid w:val="00647D3A"/>
    <w:rPr>
      <w:sz w:val="16"/>
      <w:szCs w:val="16"/>
    </w:rPr>
  </w:style>
  <w:style w:type="paragraph" w:styleId="Kommentaremne">
    <w:name w:val="annotation subject"/>
    <w:basedOn w:val="Kommentartekst"/>
    <w:next w:val="Kommentartekst"/>
    <w:link w:val="KommentaremneTegn"/>
    <w:uiPriority w:val="99"/>
    <w:semiHidden/>
    <w:unhideWhenUsed/>
    <w:rsid w:val="00796E92"/>
    <w:rPr>
      <w:b/>
      <w:bCs/>
    </w:rPr>
  </w:style>
  <w:style w:type="character" w:customStyle="1" w:styleId="KommentaremneTegn">
    <w:name w:val="Kommentaremne Tegn"/>
    <w:basedOn w:val="KommentartekstTegn"/>
    <w:link w:val="Kommentaremne"/>
    <w:uiPriority w:val="99"/>
    <w:semiHidden/>
    <w:rsid w:val="00796E92"/>
    <w:rPr>
      <w:b/>
      <w:bCs/>
      <w:sz w:val="20"/>
      <w:szCs w:val="20"/>
    </w:rPr>
  </w:style>
  <w:style w:type="paragraph" w:styleId="Sidehoved">
    <w:name w:val="header"/>
    <w:basedOn w:val="Normal"/>
    <w:link w:val="SidehovedTegn"/>
    <w:uiPriority w:val="99"/>
    <w:unhideWhenUsed/>
    <w:rsid w:val="004D317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D3176"/>
    <w:rPr>
      <w:sz w:val="22"/>
      <w:szCs w:val="22"/>
    </w:rPr>
  </w:style>
  <w:style w:type="paragraph" w:styleId="Sidefod">
    <w:name w:val="footer"/>
    <w:basedOn w:val="Normal"/>
    <w:link w:val="SidefodTegn"/>
    <w:uiPriority w:val="99"/>
    <w:unhideWhenUsed/>
    <w:rsid w:val="004D317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D3176"/>
    <w:rPr>
      <w:sz w:val="22"/>
      <w:szCs w:val="22"/>
    </w:rPr>
  </w:style>
  <w:style w:type="character" w:styleId="Hyperlink">
    <w:name w:val="Hyperlink"/>
    <w:basedOn w:val="Standardskrifttypeiafsnit"/>
    <w:uiPriority w:val="99"/>
    <w:unhideWhenUsed/>
    <w:rsid w:val="00AB27F6"/>
    <w:rPr>
      <w:color w:val="467886" w:themeColor="hyperlink"/>
      <w:u w:val="single"/>
    </w:rPr>
  </w:style>
  <w:style w:type="character" w:styleId="Ulstomtale">
    <w:name w:val="Unresolved Mention"/>
    <w:basedOn w:val="Standardskrifttypeiafsnit"/>
    <w:uiPriority w:val="99"/>
    <w:semiHidden/>
    <w:unhideWhenUsed/>
    <w:rsid w:val="00AB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4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pt.dk/TR-struktu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F18BE9EDFDCF4FA3C87B281B8C00A7" ma:contentTypeVersion="1" ma:contentTypeDescription="Create a new document." ma:contentTypeScope="" ma:versionID="981e64c17dfce1137394119d7ba4bbe8">
  <xsd:schema xmlns:xsd="http://www.w3.org/2001/XMLSchema" xmlns:xs="http://www.w3.org/2001/XMLSchema" xmlns:p="http://schemas.microsoft.com/office/2006/metadata/properties" targetNamespace="http://schemas.microsoft.com/office/2006/metadata/properties" ma:root="true" ma:fieldsID="3aee3dc95b78b4b94499faeb02ba9c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9C18B-A07E-44ED-BCA8-5866CEBD202E}">
  <ds:schemaRefs>
    <ds:schemaRef ds:uri="http://schemas.microsoft.com/sharepoint/v3/contenttype/forms"/>
  </ds:schemaRefs>
</ds:datastoreItem>
</file>

<file path=customXml/itemProps2.xml><?xml version="1.0" encoding="utf-8"?>
<ds:datastoreItem xmlns:ds="http://schemas.openxmlformats.org/officeDocument/2006/customXml" ds:itemID="{D3272863-E1FB-4AEF-9E7B-CA5D566F2B19}">
  <ds:schemaRef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0D621E1-30A1-42DB-AAE6-410E777977ED}">
  <ds:schemaRefs>
    <ds:schemaRef ds:uri="http://schemas.openxmlformats.org/officeDocument/2006/bibliography"/>
  </ds:schemaRefs>
</ds:datastoreItem>
</file>

<file path=customXml/itemProps4.xml><?xml version="1.0" encoding="utf-8"?>
<ds:datastoreItem xmlns:ds="http://schemas.openxmlformats.org/officeDocument/2006/customXml" ds:itemID="{C0271AFB-391A-4918-B2B6-779384161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Lund-Sørensen</dc:creator>
  <cp:keywords/>
  <dc:description/>
  <cp:lastModifiedBy>Eva Agerlin</cp:lastModifiedBy>
  <cp:revision>4</cp:revision>
  <dcterms:created xsi:type="dcterms:W3CDTF">2024-10-03T06:41:00Z</dcterms:created>
  <dcterms:modified xsi:type="dcterms:W3CDTF">2024-10-07T09:29:00Z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0x0101007CF18BE9EDFDCF4FA3C87B281B8C00A7</vt:lpwstr>
  </property>
  <property fmtid="{D5CDD505-2E9C-101B-9397-08002B2CF9AE}" pid="3" name="EXDocumentID">
    <vt:lpwstr>000220791</vt:lpwstr>
  </property>
  <property fmtid="{D5CDD505-2E9C-101B-9397-08002B2CF9AE}" pid="4" name="EXCoreDocType">
    <vt:lpwstr>Type1A</vt:lpwstr>
  </property>
  <property fmtid="{D5CDD505-2E9C-101B-9397-08002B2CF9AE}" pid="5" name="EXHash">
    <vt:lpwstr>707D2CF8C77D2C36E9CAF1983B97FE41485E96D442935F6524CC9CF3B3C79A7BDFE7A18988776D8FAE7AB853C431A943794DFCF6C0B482F5AD3D43FC7C40</vt:lpwstr>
  </property>
  <property fmtid="{D5CDD505-2E9C-101B-9397-08002B2CF9AE}" pid="6" name="EXTimestamp">
    <vt:lpwstr>03-10-2024 08:35:12</vt:lpwstr>
  </property>
  <property fmtid="{D5CDD505-2E9C-101B-9397-08002B2CF9AE}" pid="7" name="dDocNo">
    <vt:lpwstr>24-0281.2.</vt:lpwstr>
  </property>
  <property fmtid="{D5CDD505-2E9C-101B-9397-08002B2CF9AE}" pid="8" name="DL_Id">
    <vt:lpwstr>12487</vt:lpwstr>
  </property>
  <property fmtid="{D5CDD505-2E9C-101B-9397-08002B2CF9AE}" pid="9" name="sOprettetAf">
    <vt:lpwstr>MONTES\kto-evaa</vt:lpwstr>
  </property>
  <property fmtid="{D5CDD505-2E9C-101B-9397-08002B2CF9AE}" pid="10" name="sOprettetDato">
    <vt:lpwstr>20-09-2024</vt:lpwstr>
  </property>
  <property fmtid="{D5CDD505-2E9C-101B-9397-08002B2CF9AE}" pid="11" name="sNr">
    <vt:lpwstr>24-0271</vt:lpwstr>
  </property>
  <property fmtid="{D5CDD505-2E9C-101B-9397-08002B2CF9AE}" pid="12" name="sTitel">
    <vt:lpwstr>Etablering III af mulighed for mægling vedr. TR-struktur</vt:lpwstr>
  </property>
  <property fmtid="{D5CDD505-2E9C-101B-9397-08002B2CF9AE}" pid="13" name="sBeskrivelse">
    <vt:lpwstr/>
  </property>
  <property fmtid="{D5CDD505-2E9C-101B-9397-08002B2CF9AE}" pid="14" name="sAnsvarligInitialer">
    <vt:lpwstr>kto-evaa</vt:lpwstr>
  </property>
  <property fmtid="{D5CDD505-2E9C-101B-9397-08002B2CF9AE}" pid="15" name="sAnsvarligNavn">
    <vt:lpwstr>Eva Agerlin</vt:lpwstr>
  </property>
  <property fmtid="{D5CDD505-2E9C-101B-9397-08002B2CF9AE}" pid="16" name="DL_CaseNo">
    <vt:lpwstr>24-0271</vt:lpwstr>
  </property>
  <property fmtid="{D5CDD505-2E9C-101B-9397-08002B2CF9AE}" pid="17" name="sKlassifikation">
    <vt:lpwstr>FF/Emner - aftaler/MED - TR/Projekter mv./Fælles</vt:lpwstr>
  </property>
  <property fmtid="{D5CDD505-2E9C-101B-9397-08002B2CF9AE}" pid="18" name="sJournal">
    <vt:lpwstr>05.07.02 Medindflydelse og medbestemmelse, Rammeaftale om</vt:lpwstr>
  </property>
  <property fmtid="{D5CDD505-2E9C-101B-9397-08002B2CF9AE}" pid="19" name="EntityNameForeign">
    <vt:lpwstr>DL_Activities</vt:lpwstr>
  </property>
  <property fmtid="{D5CDD505-2E9C-101B-9397-08002B2CF9AE}" pid="20" name="EntityId">
    <vt:lpwstr>12487</vt:lpwstr>
  </property>
  <property fmtid="{D5CDD505-2E9C-101B-9397-08002B2CF9AE}" pid="21" name="DocumentName">
    <vt:lpwstr>http://spas.montes.dk/Activities/24Docs/24-0271/24-0271.136.Informationsmateriale kun kommuner 1.10.2024.docx</vt:lpwstr>
  </property>
</Properties>
</file>